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5"/>
        <w:tblW w:w="5088" w:type="pct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5"/>
        <w:gridCol w:w="751"/>
        <w:gridCol w:w="703"/>
        <w:gridCol w:w="2191"/>
        <w:gridCol w:w="1242"/>
        <w:gridCol w:w="844"/>
        <w:gridCol w:w="441"/>
        <w:gridCol w:w="546"/>
        <w:gridCol w:w="1187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1275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3724" w:type="pct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原版宋体" w:hAnsi="原版宋体" w:cs="Times New Roman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2023年重大传染病防控资金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43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2821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华容县卫生健康局</w:t>
            </w:r>
          </w:p>
        </w:tc>
        <w:tc>
          <w:tcPr>
            <w:tcW w:w="48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1255" w:type="pct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华容县疾病预防控制中心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43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839" w:type="pct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71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48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43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3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126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317.51</w:t>
            </w:r>
          </w:p>
        </w:tc>
        <w:tc>
          <w:tcPr>
            <w:tcW w:w="7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317.51</w:t>
            </w:r>
          </w:p>
        </w:tc>
        <w:tc>
          <w:tcPr>
            <w:tcW w:w="4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317.51</w:t>
            </w:r>
          </w:p>
        </w:tc>
        <w:tc>
          <w:tcPr>
            <w:tcW w:w="25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3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8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" w:hRule="atLeast"/>
        </w:trPr>
        <w:tc>
          <w:tcPr>
            <w:tcW w:w="43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3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126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317.51</w:t>
            </w:r>
          </w:p>
        </w:tc>
        <w:tc>
          <w:tcPr>
            <w:tcW w:w="7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317.51</w:t>
            </w:r>
          </w:p>
        </w:tc>
        <w:tc>
          <w:tcPr>
            <w:tcW w:w="4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317.51</w:t>
            </w:r>
          </w:p>
        </w:tc>
        <w:tc>
          <w:tcPr>
            <w:tcW w:w="25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3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8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435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3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126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5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8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43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3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126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54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8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92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435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2821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1742" w:type="pct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435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821" w:type="pct"/>
            <w:gridSpan w:val="4"/>
            <w:vAlign w:val="center"/>
          </w:tcPr>
          <w:p>
            <w:pPr>
              <w:widowControl/>
              <w:autoSpaceDN w:val="0"/>
              <w:spacing w:line="320" w:lineRule="exact"/>
              <w:jc w:val="left"/>
              <w:textAlignment w:val="center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18"/>
                <w:szCs w:val="18"/>
                <w:lang w:val="en-US" w:eastAsia="zh-CN"/>
              </w:rPr>
              <w:t>目标一：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更新本单位及县区其他接种单位冷链设备机系统，保障全县冷链系统正常运行。</w:t>
            </w:r>
          </w:p>
          <w:p>
            <w:pPr>
              <w:widowControl/>
              <w:autoSpaceDN w:val="0"/>
              <w:spacing w:line="320" w:lineRule="exact"/>
              <w:jc w:val="left"/>
              <w:textAlignment w:val="center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18"/>
                <w:szCs w:val="18"/>
                <w:lang w:val="en-US" w:eastAsia="zh-CN"/>
              </w:rPr>
              <w:t>目标二：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u w:val="none"/>
                <w:lang w:eastAsia="zh-CN"/>
              </w:rPr>
              <w:t>扩大艾滋病防治宣传覆盖面，加强重点人群宣传和干预，扩大艾滋病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抗病毒治疗覆盖面，提高随访管理质量。</w:t>
            </w:r>
          </w:p>
          <w:p>
            <w:pPr>
              <w:widowControl/>
              <w:autoSpaceDN w:val="0"/>
              <w:spacing w:line="320" w:lineRule="exact"/>
              <w:jc w:val="left"/>
              <w:textAlignment w:val="center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18"/>
                <w:szCs w:val="18"/>
                <w:lang w:eastAsia="zh-CN"/>
              </w:rPr>
              <w:t>目标三：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规范结核病管理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，对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病原学阳性肺结核患者密切接触者、，入学新生、糖尿病患者、65岁及以上老年人群进行肺结核筛查。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</w:p>
          <w:p>
            <w:pPr>
              <w:widowControl/>
              <w:autoSpaceDN w:val="0"/>
              <w:spacing w:line="320" w:lineRule="exact"/>
              <w:jc w:val="left"/>
              <w:textAlignment w:val="center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18"/>
                <w:szCs w:val="18"/>
                <w:lang w:val="en-US" w:eastAsia="zh-CN"/>
              </w:rPr>
              <w:t>目标四：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加强严重精神障碍患者管理、危险性评估；完成农村癫痫筛排查；完成死因监测、恶性肿瘤报告、高血压、糖尿病患者监测等工作；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深入开展各个慢性病相关宣传活动。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18"/>
                <w:szCs w:val="18"/>
                <w:lang w:val="en-US" w:eastAsia="zh-CN"/>
              </w:rPr>
              <w:t>目标五：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学生常见病筛查，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重点传染病常规监测，麻风病症状监测，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发热病人疟原虫血检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eastAsia="zh-CN"/>
              </w:rPr>
              <w:t>开展全县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</w:rPr>
              <w:t>公共场所、饮用水（含二次供水）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eastAsia="zh-CN"/>
              </w:rPr>
              <w:t>农村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</w:rPr>
              <w:t>卫生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eastAsia="zh-CN"/>
              </w:rPr>
              <w:t>环境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</w:rPr>
              <w:t>等监测工作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eastAsia="zh-CN"/>
              </w:rPr>
              <w:t>。</w:t>
            </w:r>
          </w:p>
        </w:tc>
        <w:tc>
          <w:tcPr>
            <w:tcW w:w="1742" w:type="pct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均已按实施目标按质按量完成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43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433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406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126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71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487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06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126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乡镇冷链设备更新，监控系统更新，保障疫苗运输车有效运转，添置发电设备保障冷链设备应急供电；预防接种日及肝炎日的现场教育宣传工作。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覆盖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21个接种单位，全年2次大型宣教活动。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已全面覆盖；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2次宣教活动。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tabs>
                <w:tab w:val="left" w:pos="1159"/>
              </w:tabs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Style w:val="17"/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val="en-US" w:eastAsia="zh-CN" w:bidi="ar"/>
              </w:rPr>
              <w:t>VCT</w:t>
            </w:r>
            <w:r>
              <w:rPr>
                <w:rStyle w:val="18"/>
                <w:color w:val="auto"/>
                <w:spacing w:val="-6"/>
                <w:kern w:val="0"/>
                <w:sz w:val="18"/>
                <w:szCs w:val="18"/>
                <w:lang w:val="en-US" w:eastAsia="zh-CN" w:bidi="ar"/>
              </w:rPr>
              <w:t>门诊任务量，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spacing w:val="-6"/>
                <w:kern w:val="0"/>
                <w:sz w:val="18"/>
                <w:szCs w:val="18"/>
                <w:u w:val="none"/>
                <w:lang w:val="en-US" w:eastAsia="zh-CN" w:bidi="ar"/>
              </w:rPr>
              <w:t>暗娼干预任务量，性病门诊就诊者干预任务量，艾滋病抗病毒治疗率，随访及CD4检测率、配偶/固定性伴检测比例、结核检测比例，常住人口检测比例。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spacing w:val="-6"/>
                <w:kern w:val="0"/>
                <w:sz w:val="18"/>
                <w:szCs w:val="18"/>
                <w:u w:val="none"/>
                <w:lang w:val="en-US" w:eastAsia="zh-CN" w:bidi="ar"/>
              </w:rPr>
              <w:t>965人次，460人次，1165人次，90%，100%,24%以上（177600人次）。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966人次,465人次,1215人次,97.9%,100%,24.1%(178509人次)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结核病规范管理率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结核病规范服药率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病原学阳性肺结核患者密切接触者筛查率，肺结核患者病原学阳性率，病原学阳性患者耐药筛查率，肺结核患者成功治疗率，入学新生肺结核筛查率，糖尿病患者肺结核筛查率，65岁及以上老年人群肺结核筛查率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rPr>
                <w:rFonts w:ascii="宋体" w:hAnsi="宋体"/>
                <w:color w:val="auto"/>
                <w:kern w:val="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90%，90%，95%，50%，90%，90%，90%，90%，90%。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100%，94.1%，100%，56.5%，100%，97.9%，98.1%，95.8%，98.7%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严重精神障碍患者检出率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；农村癫痫入组治疗患者数；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死因监测粗死亡率。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4.58‰；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1‰；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6‰。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5.98‰；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1.34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‰；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8.35‰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。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numPr>
                <w:ilvl w:val="0"/>
                <w:numId w:val="0"/>
              </w:numPr>
              <w:spacing w:line="240" w:lineRule="exact"/>
              <w:ind w:firstLine="0" w:firstLine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kern w:val="0"/>
                <w:sz w:val="18"/>
                <w:szCs w:val="18"/>
                <w:lang w:val="en-US" w:eastAsia="zh-CN"/>
              </w:rPr>
              <w:t>1、学生常见病筛查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现场筛查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问卷调查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。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2、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手足口病全年监测采样，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狂犬病动物咬伤暴露病例监测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。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霍乱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采集内、外环境采样，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麻风病疑似症状监测，麻风病核心接触者健康检查随访，</w:t>
            </w:r>
            <w:r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val="en-US" w:eastAsia="zh-CN"/>
              </w:rPr>
              <w:t>麻风病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愈后存活调查，麻风病疫点调查，发热病人疟原虫血检；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3、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城乡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生活饮用水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采样数，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农村环境人户调查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采样数。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numPr>
                <w:ilvl w:val="0"/>
                <w:numId w:val="1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至少1840人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至少1680人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；</w:t>
            </w:r>
          </w:p>
          <w:p>
            <w:pPr>
              <w:widowControl/>
              <w:numPr>
                <w:ilvl w:val="0"/>
                <w:numId w:val="1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按重点传染病方案执行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；</w:t>
            </w:r>
          </w:p>
          <w:p>
            <w:pPr>
              <w:widowControl/>
              <w:numPr>
                <w:ilvl w:val="0"/>
                <w:numId w:val="1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220个， 100个。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numPr>
                <w:ilvl w:val="0"/>
                <w:numId w:val="0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1、2271人,2099人；</w:t>
            </w:r>
          </w:p>
          <w:p>
            <w:pPr>
              <w:widowControl/>
              <w:numPr>
                <w:ilvl w:val="0"/>
                <w:numId w:val="2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按方案指标完成。</w:t>
            </w:r>
          </w:p>
          <w:p>
            <w:pPr>
              <w:widowControl/>
              <w:numPr>
                <w:ilvl w:val="0"/>
                <w:numId w:val="2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220个，100个。。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保障乡镇疫苗冷链系统正常运行。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覆盖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21个接种单位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全面覆盖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u w:val="none"/>
                <w:lang w:eastAsia="zh-CN"/>
              </w:rPr>
              <w:t>重点人群宣传和干预，扩大艾滋病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抗病毒治疗覆盖面，提高随访管理质量。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按工作指南执行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按质按量完成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规范结核病管理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严重精神障碍患者规范管理率；严重精神障碍患者规律服药率率；农村癫痫患者发作有效控制率。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90%；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65%；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60%。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9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.81%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；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89.70%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；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76.19%。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numPr>
                <w:ilvl w:val="0"/>
                <w:numId w:val="0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学生常见病筛查现场质量控制复核率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；</w:t>
            </w:r>
          </w:p>
          <w:p>
            <w:pPr>
              <w:widowControl/>
              <w:numPr>
                <w:ilvl w:val="0"/>
                <w:numId w:val="0"/>
              </w:numPr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对报告的重点传染病及时调查，及时采样，及时送检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；</w:t>
            </w:r>
          </w:p>
          <w:p>
            <w:pPr>
              <w:widowControl/>
              <w:numPr>
                <w:ilvl w:val="0"/>
                <w:numId w:val="0"/>
              </w:numPr>
              <w:spacing w:line="240" w:lineRule="exact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乡镇水厂检测覆盖率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农村环境卫生监测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覆盖率。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1、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不少于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5%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2、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及时有效处置</w:t>
            </w:r>
          </w:p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3、覆盖21个乡镇。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已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按质按量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完成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年度各项工作任务完成度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≥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95%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100%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对严重精神障碍患者提供随访服务；对农村癫痫患者提供随访服务。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三个月一次；两个月一次。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100%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43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406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264" w:type="pct"/>
            <w:vAlign w:val="center"/>
          </w:tcPr>
          <w:p>
            <w:pPr>
              <w:widowControl/>
              <w:tabs>
                <w:tab w:val="left" w:pos="403"/>
              </w:tabs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提高预防接种率，保障人民身体健康。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提高人民对艾滋病、结核病和慢性病的认知。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早发现，早预防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减少传播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，有效降低传染病的发生，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及时阻断疫情扩散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提高预防接种率，保障人民身体健康。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提高人民对艾滋病、结核病和慢性病的认知。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spacing w:val="-6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早发现，早预防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减少传播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，有效降低传染病的发生，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及时阻断疫情扩散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264" w:type="pct"/>
            <w:vAlign w:val="center"/>
          </w:tcPr>
          <w:p>
            <w:pPr>
              <w:widowControl/>
              <w:tabs>
                <w:tab w:val="left" w:pos="403"/>
              </w:tabs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提高预防接种率，保障人民身体健康。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早发现，早预防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减少传播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，有效降低传染病的发生，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及时阻断疫情扩散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通过基本公卫服务，提高公民健康意识，保障人民身体健康。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早发现，早预防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减少传播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，有效降低传染病的发生，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及时阻断疫情扩散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，降低公共卫生事件对社会的影响。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-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406" w:type="pct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服务群众满意度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≥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95%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≥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95%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上级主管部门满意度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满意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实现目标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406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264" w:type="pct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乡镇冷链设备及监控系统更新，添置发电设备保障冷链设备应急供电；预防接种日及肝炎日的现场教育宣传工作经费。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≤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99万元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99万元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艾滋病各项工作任务经费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≤</w:t>
            </w: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81.7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81.7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结核病筛查及对象管理费用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</w:rPr>
              <w:t>　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≤</w:t>
            </w: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23.86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23.86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严重精神障碍患者管理及各项慢病工作经费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≤</w:t>
            </w: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25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25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64" w:type="pct"/>
            <w:tcBorders>
              <w:left w:val="single" w:color="auto" w:sz="4" w:space="0"/>
            </w:tcBorders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学生常见病筛查及传染病防治工作经费</w:t>
            </w:r>
          </w:p>
        </w:tc>
        <w:tc>
          <w:tcPr>
            <w:tcW w:w="717" w:type="pct"/>
            <w:vAlign w:val="center"/>
          </w:tcPr>
          <w:p>
            <w:pPr>
              <w:widowControl/>
              <w:spacing w:line="240" w:lineRule="exact"/>
              <w:ind w:firstLine="180" w:firstLineChars="1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eastAsia="zh-CN"/>
              </w:rPr>
              <w:t>≤</w:t>
            </w: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87.95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487" w:type="pct"/>
            <w:vAlign w:val="center"/>
          </w:tcPr>
          <w:p>
            <w:pPr>
              <w:widowControl/>
              <w:spacing w:line="240" w:lineRule="exact"/>
              <w:ind w:firstLine="0" w:firstLine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18"/>
                <w:szCs w:val="18"/>
                <w:lang w:val="en-US" w:eastAsia="zh-CN"/>
              </w:rPr>
              <w:t>87.95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264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  <w:t>增强居民健康意识，减少疾病发生和传播</w:t>
            </w:r>
          </w:p>
        </w:tc>
        <w:tc>
          <w:tcPr>
            <w:tcW w:w="7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  <w:t>基本达标</w:t>
            </w:r>
          </w:p>
        </w:tc>
        <w:tc>
          <w:tcPr>
            <w:tcW w:w="4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  <w:t>基本达标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bookmarkStart w:id="0" w:name="_GoBack"/>
            <w:bookmarkEnd w:id="0"/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35" w:type="pct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33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264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  <w:t>增强居民健康意识，减少疾病发生和传播</w:t>
            </w:r>
          </w:p>
        </w:tc>
        <w:tc>
          <w:tcPr>
            <w:tcW w:w="7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  <w:t>基本达标</w:t>
            </w:r>
          </w:p>
        </w:tc>
        <w:tc>
          <w:tcPr>
            <w:tcW w:w="4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  <w:t>基本达标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744" w:type="pct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254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315" w:type="pct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685" w:type="pct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sz w:val="22"/>
          <w:szCs w:val="22"/>
        </w:rPr>
      </w:pPr>
      <w:r>
        <w:rPr>
          <w:rFonts w:hint="eastAsia"/>
        </w:rPr>
        <w:t>填表人：        填报日期：            联系电话：      单位负责人签字：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7B09460-6C89-48FE-98C6-9699EF199D1C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F2836485-22E6-49C9-8912-1A4D93933AB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328D37B-DB63-4EA9-92D9-648C972A4E29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467BC577-3A52-4A8B-982D-1D32BE9ED8E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E17BCC4-8002-4F2E-8D9E-48225AF048FD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95A76EE3-2EBA-4900-8EBE-C493FAE86355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7" w:fontKey="{C91BD14A-2AB9-4C8E-92E2-3241D627757A}"/>
  </w:font>
  <w:font w:name="原版宋体">
    <w:altName w:val="宋体"/>
    <w:panose1 w:val="02010600030101010101"/>
    <w:charset w:val="00"/>
    <w:family w:val="auto"/>
    <w:pitch w:val="default"/>
    <w:sig w:usb0="00000000" w:usb1="00000000" w:usb2="00000000" w:usb3="00000000" w:csb0="00040001" w:csb1="00000000"/>
    <w:embedRegular r:id="rId8" w:fontKey="{903F418C-BF77-4750-A647-CE8E799E74FD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2174E0BD-901C-459F-9372-8BD3CBB2EE1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ADE0F0"/>
    <w:multiLevelType w:val="singleLevel"/>
    <w:tmpl w:val="BFADE0F0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2EC2A51D"/>
    <w:multiLevelType w:val="singleLevel"/>
    <w:tmpl w:val="2EC2A51D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FiOWNiYzg3ODAxM2UzZDI3YzI5NWU4MTUxZmQ0MmI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7F4D04"/>
    <w:rsid w:val="02B50488"/>
    <w:rsid w:val="0338470A"/>
    <w:rsid w:val="034822A9"/>
    <w:rsid w:val="03D86621"/>
    <w:rsid w:val="04EE6171"/>
    <w:rsid w:val="05315F6B"/>
    <w:rsid w:val="05395EA9"/>
    <w:rsid w:val="05443ED0"/>
    <w:rsid w:val="054F6C10"/>
    <w:rsid w:val="0616597F"/>
    <w:rsid w:val="06426ACC"/>
    <w:rsid w:val="06826B71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DB7D35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78F10EE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827473"/>
    <w:rsid w:val="1CA34935"/>
    <w:rsid w:val="1D5A640E"/>
    <w:rsid w:val="1E6310FB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853B30"/>
    <w:rsid w:val="25FE2B31"/>
    <w:rsid w:val="260D5D83"/>
    <w:rsid w:val="260E1D77"/>
    <w:rsid w:val="272A498F"/>
    <w:rsid w:val="277A77CA"/>
    <w:rsid w:val="28043432"/>
    <w:rsid w:val="284A2254"/>
    <w:rsid w:val="29165294"/>
    <w:rsid w:val="292F1467"/>
    <w:rsid w:val="29786927"/>
    <w:rsid w:val="297B51B4"/>
    <w:rsid w:val="29E40467"/>
    <w:rsid w:val="29E6561D"/>
    <w:rsid w:val="29F527E2"/>
    <w:rsid w:val="2A9A1E2C"/>
    <w:rsid w:val="2BF35971"/>
    <w:rsid w:val="2C487650"/>
    <w:rsid w:val="2C5A7AC4"/>
    <w:rsid w:val="2D1E0AF2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4833930"/>
    <w:rsid w:val="359F2200"/>
    <w:rsid w:val="35A42962"/>
    <w:rsid w:val="36AD0EA9"/>
    <w:rsid w:val="36FF783F"/>
    <w:rsid w:val="37427AD3"/>
    <w:rsid w:val="37450F88"/>
    <w:rsid w:val="375F1A7E"/>
    <w:rsid w:val="378B026E"/>
    <w:rsid w:val="37B47BE4"/>
    <w:rsid w:val="37D6106F"/>
    <w:rsid w:val="37F4701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6E70E8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1F3201"/>
    <w:rsid w:val="45320384"/>
    <w:rsid w:val="457C5F26"/>
    <w:rsid w:val="4716830A"/>
    <w:rsid w:val="47BF53CA"/>
    <w:rsid w:val="48B126BB"/>
    <w:rsid w:val="490B41C9"/>
    <w:rsid w:val="496B2EB9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AD5597"/>
    <w:rsid w:val="4CD520DA"/>
    <w:rsid w:val="4CE74BC3"/>
    <w:rsid w:val="4CEEB85C"/>
    <w:rsid w:val="4CF5000E"/>
    <w:rsid w:val="4D6D6EEB"/>
    <w:rsid w:val="4DB17672"/>
    <w:rsid w:val="4DB27F04"/>
    <w:rsid w:val="4E5C7274"/>
    <w:rsid w:val="4F5D15A2"/>
    <w:rsid w:val="4FCB46B2"/>
    <w:rsid w:val="4FE319FB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CC09F8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64A92"/>
    <w:rsid w:val="564F3D12"/>
    <w:rsid w:val="5697709C"/>
    <w:rsid w:val="56C97471"/>
    <w:rsid w:val="56F72F7C"/>
    <w:rsid w:val="5717642E"/>
    <w:rsid w:val="571B7CCD"/>
    <w:rsid w:val="57946554"/>
    <w:rsid w:val="57D80A00"/>
    <w:rsid w:val="586243BF"/>
    <w:rsid w:val="58FD3402"/>
    <w:rsid w:val="5968027A"/>
    <w:rsid w:val="5A0507C0"/>
    <w:rsid w:val="5A5F4374"/>
    <w:rsid w:val="5AAF7799"/>
    <w:rsid w:val="5AB04BD0"/>
    <w:rsid w:val="5B5C1753"/>
    <w:rsid w:val="5B7E2842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2770B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992CD3"/>
    <w:rsid w:val="69C60A20"/>
    <w:rsid w:val="69CF7B2C"/>
    <w:rsid w:val="69EE4FDB"/>
    <w:rsid w:val="69FEC155"/>
    <w:rsid w:val="6A0B0004"/>
    <w:rsid w:val="6A3273AF"/>
    <w:rsid w:val="6AC56475"/>
    <w:rsid w:val="6AD35263"/>
    <w:rsid w:val="6AFB3C45"/>
    <w:rsid w:val="6B486645"/>
    <w:rsid w:val="6B8D38AE"/>
    <w:rsid w:val="6BA1010E"/>
    <w:rsid w:val="6BC26511"/>
    <w:rsid w:val="6BC80F42"/>
    <w:rsid w:val="6C150D37"/>
    <w:rsid w:val="6CDE55CC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3C2A3D"/>
    <w:rsid w:val="71572F19"/>
    <w:rsid w:val="719B7427"/>
    <w:rsid w:val="71AF12E6"/>
    <w:rsid w:val="71CF1988"/>
    <w:rsid w:val="71E33685"/>
    <w:rsid w:val="71F326B3"/>
    <w:rsid w:val="724A6793"/>
    <w:rsid w:val="72647B59"/>
    <w:rsid w:val="73005EB5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80A371A"/>
    <w:rsid w:val="785901FD"/>
    <w:rsid w:val="7951325E"/>
    <w:rsid w:val="799536BA"/>
    <w:rsid w:val="7B170752"/>
    <w:rsid w:val="7B1D19B6"/>
    <w:rsid w:val="7B382425"/>
    <w:rsid w:val="7B8F681B"/>
    <w:rsid w:val="7BC55225"/>
    <w:rsid w:val="7BFF9B5C"/>
    <w:rsid w:val="7C3B673F"/>
    <w:rsid w:val="7CED5089"/>
    <w:rsid w:val="7D1172F8"/>
    <w:rsid w:val="7D8636B9"/>
    <w:rsid w:val="7DD96C0E"/>
    <w:rsid w:val="7E0E55E6"/>
    <w:rsid w:val="7E215319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Text1I"/>
    <w:basedOn w:val="1"/>
    <w:qFormat/>
    <w:uiPriority w:val="99"/>
    <w:pPr>
      <w:snapToGrid w:val="0"/>
      <w:spacing w:line="360" w:lineRule="auto"/>
      <w:ind w:firstLine="420" w:firstLineChars="100"/>
    </w:pPr>
    <w:rPr>
      <w:sz w:val="28"/>
      <w:szCs w:val="20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customStyle="1" w:styleId="12">
    <w:name w:val="Footer Char"/>
    <w:basedOn w:val="10"/>
    <w:link w:val="5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6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character" w:customStyle="1" w:styleId="17">
    <w:name w:val="font11"/>
    <w:basedOn w:val="10"/>
    <w:qFormat/>
    <w:uiPriority w:val="0"/>
    <w:rPr>
      <w:rFonts w:hint="default" w:ascii="Arial" w:hAnsi="Arial" w:cs="Arial"/>
      <w:color w:val="000000"/>
      <w:sz w:val="16"/>
      <w:szCs w:val="16"/>
      <w:u w:val="none"/>
    </w:rPr>
  </w:style>
  <w:style w:type="character" w:customStyle="1" w:styleId="18">
    <w:name w:val="font21"/>
    <w:basedOn w:val="10"/>
    <w:qFormat/>
    <w:uiPriority w:val="0"/>
    <w:rPr>
      <w:rFonts w:hint="eastAsia" w:ascii="宋体" w:hAnsi="宋体" w:eastAsia="宋体" w:cs="宋体"/>
      <w:color w:val="000000"/>
      <w:sz w:val="16"/>
      <w:szCs w:val="16"/>
      <w:u w:val="non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4</Pages>
  <Words>2076</Words>
  <Characters>2334</Characters>
  <Lines>0</Lines>
  <Paragraphs>0</Paragraphs>
  <TotalTime>8</TotalTime>
  <ScaleCrop>false</ScaleCrop>
  <LinksUpToDate>false</LinksUpToDate>
  <CharactersWithSpaces>2398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WPS_1640949061</cp:lastModifiedBy>
  <cp:lastPrinted>2024-05-20T07:59:00Z</cp:lastPrinted>
  <dcterms:modified xsi:type="dcterms:W3CDTF">2024-05-27T07:38:06Z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